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Dossier de conformité — traitements effectués via LEMIA</w:t>
      </w:r>
    </w:p>
    <w:p>
      <w:r>
        <w:rPr>
          <w:b/>
        </w:rPr>
        <w:t>Date d'établissement</w:t>
      </w:r>
      <w:r>
        <w:t xml:space="preserve"> : 07.09.2026</w:t>
      </w:r>
    </w:p>
    <w:p>
      <w:r>
        <w:rPr>
          <w:b/>
        </w:rPr>
        <w:t>Responsable du traitement</w:t>
      </w:r>
      <w:r>
        <w:t xml:space="preserve"> : Étude Exemple (cabinet fictif), Genève</w:t>
      </w:r>
    </w:p>
    <w:p>
      <w:r>
        <w:rPr>
          <w:b/>
        </w:rPr>
        <w:t>Personne responsable</w:t>
      </w:r>
      <w:r>
        <w:t xml:space="preserve"> : Me A. Exemple (personne fictive)</w:t>
      </w:r>
    </w:p>
    <w:p>
      <w:r>
        <w:rPr>
          <w:b/>
        </w:rPr>
        <w:t>Contact</w:t>
      </w:r>
      <w:r>
        <w:t xml:space="preserve"> : exemple@cabinet-fictif.invalid</w:t>
      </w:r>
    </w:p>
    <w:p>
      <w:r>
        <w:rPr>
          <w:b/>
        </w:rPr>
        <w:t>Périmètre</w:t>
      </w:r>
      <w:r>
        <w:t xml:space="preserve"> : ce dossier couvre exclusivement les traitements de données personnelles effectués au moyen du logiciel LEMIA. Il est destiné à être annexé à la documentation de protection des données du responsable du traitement ; il ne remplace pas le registre couvrant les traitements effectués par d'autres moyens.</w:t>
      </w:r>
    </w:p>
    <w:p>
      <w:r>
        <w:t>Document généré automatiquement par LEMIA, sans intelligence artificielle, depuis la journalisation et la configuration réelles de l'application.</w:t>
      </w:r>
    </w:p>
    <w:p>
      <w:pPr>
        <w:pStyle w:val="Heading2"/>
      </w:pPr>
      <w:r>
        <w:t>Registre des activités de traitement (art. 12 nLPD)</w:t>
      </w:r>
    </w:p>
    <w:p>
      <w:pPr>
        <w:pStyle w:val="Heading3"/>
      </w:pPr>
      <w:r>
        <w:t>Synthèse d'un dossier contentieux pour l'assurance</w:t>
      </w:r>
    </w:p>
    <w:p>
      <w:pPr>
        <w:pStyle w:val="ListBullet"/>
      </w:pPr>
      <w:r>
        <w:rPr>
          <w:b/>
        </w:rPr>
        <w:t>Nombre de traitements</w:t>
      </w:r>
      <w:r>
        <w:t xml:space="preserve"> : 2 (période : 24.08.2026 → 02.09.2026)</w:t>
      </w:r>
    </w:p>
    <w:p>
      <w:pPr>
        <w:pStyle w:val="ListBullet"/>
      </w:pPr>
      <w:r>
        <w:rPr>
          <w:b/>
        </w:rPr>
        <w:t>Catégories de données</w:t>
      </w:r>
      <w:r>
        <w:t xml:space="preserve"> : correspondances, contrats, factures ; correspondances, factures</w:t>
      </w:r>
    </w:p>
    <w:p>
      <w:pPr>
        <w:pStyle w:val="ListBullet"/>
      </w:pPr>
      <w:r>
        <w:rPr>
          <w:b/>
        </w:rPr>
        <w:t>Personnes concernées</w:t>
      </w:r>
      <w:r>
        <w:t xml:space="preserve"> : clients (personnes morales), parties adverses</w:t>
      </w:r>
    </w:p>
    <w:p>
      <w:pPr>
        <w:pStyle w:val="ListBullet"/>
      </w:pPr>
      <w:r>
        <w:rPr>
          <w:b/>
        </w:rPr>
        <w:t>Destinataires (sous-traitants IA)</w:t>
      </w:r>
      <w:r>
        <w:t xml:space="preserve"> : Infomaniak (Suisse)</w:t>
      </w:r>
    </w:p>
    <w:p>
      <w:pPr>
        <w:pStyle w:val="ListBullet"/>
      </w:pPr>
      <w:r>
        <w:rPr>
          <w:b/>
        </w:rPr>
        <w:t>Pays de traitement</w:t>
      </w:r>
      <w:r>
        <w:t xml:space="preserve"> : CH</w:t>
      </w:r>
    </w:p>
    <w:p>
      <w:pPr>
        <w:pStyle w:val="ListBullet"/>
      </w:pPr>
      <w:r>
        <w:rPr>
          <w:b/>
        </w:rPr>
        <w:t>Durée de conservation</w:t>
      </w:r>
      <w:r>
        <w:t xml:space="preserve"> : 90 jours puis purge automatique</w:t>
      </w:r>
    </w:p>
    <w:p>
      <w:pPr>
        <w:pStyle w:val="Heading3"/>
      </w:pPr>
      <w:r>
        <w:t>Projet d'acte à partir d'un mandat</w:t>
      </w:r>
    </w:p>
    <w:p>
      <w:pPr>
        <w:pStyle w:val="ListBullet"/>
      </w:pPr>
      <w:r>
        <w:rPr>
          <w:b/>
        </w:rPr>
        <w:t>Nombre de traitements</w:t>
      </w:r>
      <w:r>
        <w:t xml:space="preserve"> : 1 (période : 27.08.2026 → 27.08.2026)</w:t>
      </w:r>
    </w:p>
    <w:p>
      <w:pPr>
        <w:pStyle w:val="ListBullet"/>
      </w:pPr>
      <w:r>
        <w:rPr>
          <w:b/>
        </w:rPr>
        <w:t>Catégories de données</w:t>
      </w:r>
      <w:r>
        <w:t xml:space="preserve"> : mandat, notes de séance</w:t>
      </w:r>
    </w:p>
    <w:p>
      <w:pPr>
        <w:pStyle w:val="ListBullet"/>
      </w:pPr>
      <w:r>
        <w:rPr>
          <w:b/>
        </w:rPr>
        <w:t>Personnes concernées</w:t>
      </w:r>
      <w:r>
        <w:t xml:space="preserve"> : clients (personnes morales)</w:t>
      </w:r>
    </w:p>
    <w:p>
      <w:pPr>
        <w:pStyle w:val="ListBullet"/>
      </w:pPr>
      <w:r>
        <w:rPr>
          <w:b/>
        </w:rPr>
        <w:t>Destinataires (sous-traitants IA)</w:t>
      </w:r>
      <w:r>
        <w:t xml:space="preserve"> : Infomaniak (Suisse)</w:t>
      </w:r>
    </w:p>
    <w:p>
      <w:pPr>
        <w:pStyle w:val="ListBullet"/>
      </w:pPr>
      <w:r>
        <w:rPr>
          <w:b/>
        </w:rPr>
        <w:t>Pays de traitement</w:t>
      </w:r>
      <w:r>
        <w:t xml:space="preserve"> : CH</w:t>
      </w:r>
    </w:p>
    <w:p>
      <w:pPr>
        <w:pStyle w:val="ListBullet"/>
      </w:pPr>
      <w:r>
        <w:rPr>
          <w:b/>
        </w:rPr>
        <w:t>Durée de conservation</w:t>
      </w:r>
      <w:r>
        <w:t xml:space="preserve"> : 90 jours puis purge automatique</w:t>
      </w:r>
    </w:p>
    <w:p>
      <w:pPr>
        <w:pStyle w:val="Heading2"/>
      </w:pPr>
      <w:r>
        <w:t>Règlement de traitement (art. 5 OPDo)</w:t>
      </w:r>
    </w:p>
    <w:p>
      <w:r>
        <w:t>Description des procédures et des mesures techniques et organisationnelles appliquées aux traitements effectués via LEMIA. Ce règlement est généré automatiquement depuis la configuration réelle de l'application au moment de l'export — il ne peut pas diverger du comportement effectif du logiciel.</w:t>
      </w:r>
    </w:p>
    <w:p>
      <w:pPr>
        <w:pStyle w:val="Heading3"/>
      </w:pPr>
      <w:r>
        <w:t>Traitement souverain (localisation des données)</w:t>
      </w:r>
    </w:p>
    <w:p>
      <w:pPr>
        <w:pStyle w:val="ListBullet"/>
      </w:pPr>
      <w:r>
        <w:t xml:space="preserve">Tout appel à un modèle d'IA est routé vers </w:t>
      </w:r>
      <w:r>
        <w:rPr>
          <w:b/>
        </w:rPr>
        <w:t>Infomaniak AI Services (Suisse)</w:t>
      </w:r>
      <w:r>
        <w:t xml:space="preserve"> : le contenu est traité en Suisse, n'est pas conservé par le sous-traitant et n'est pas utilisé pour entraîner des modèles.</w:t>
      </w:r>
    </w:p>
    <w:p>
      <w:pPr>
        <w:pStyle w:val="ListBullet"/>
      </w:pPr>
      <w:r>
        <w:t xml:space="preserve">Aucun fournisseur d'IA non suisse n'est joignable par l'application (restriction appliquée par construction, pas par simple configuration). Seule exception : un modèle </w:t>
      </w:r>
      <w:r>
        <w:rPr>
          <w:b/>
        </w:rPr>
        <w:t>local</w:t>
      </w:r>
      <w:r>
        <w:t xml:space="preserve"> (Ollama, sans sortie réseau), activable explicitement pour le développement hors-ligne.</w:t>
      </w:r>
    </w:p>
    <w:p>
      <w:pPr>
        <w:pStyle w:val="ListBullet"/>
      </w:pPr>
      <w:r>
        <w:t>Les outils d'accès au web par l'IA (recherche, téléchargement) sont désactivés par défaut : aucune sortie de données initiée par l'IA vers des tiers non suisses, sauf activation explicite du mode web par l'utilisateur (avertissement à accepter, consentement journalisé et expirant après sept jours) — l'activation relève alors de sa décision.</w:t>
      </w:r>
    </w:p>
    <w:p>
      <w:pPr>
        <w:pStyle w:val="Heading3"/>
      </w:pPr>
      <w:r>
        <w:t>Contrôle d'accès aux données (sandbox)</w:t>
      </w:r>
    </w:p>
    <w:p>
      <w:pPr>
        <w:pStyle w:val="ListBullet"/>
      </w:pPr>
      <w:r>
        <w:t>Les agents n'accèdent qu'au dossier de travail désigné par l'utilisateur (bac à sable avec blocage des traversées de chemin).</w:t>
      </w:r>
    </w:p>
    <w:p>
      <w:pPr>
        <w:pStyle w:val="ListBullet"/>
      </w:pPr>
      <w:r>
        <w:rPr>
          <w:b/>
        </w:rPr>
        <w:t>Dossiers interdits (liste rouge)</w:t>
      </w:r>
      <w:r>
        <w:t xml:space="preserve"> : les dossiers verrouillés par le cabinet sont physiquement illisibles par les agents et par l'assistant conversationnel. État au moment de l'export : 0 dossier(s) interdit(s) sur 0 espace(s) de travail protégé(s).</w:t>
      </w:r>
    </w:p>
    <w:p>
      <w:pPr>
        <w:pStyle w:val="ListBullet"/>
      </w:pPr>
      <w:r>
        <w:t xml:space="preserve">La perte ou la corruption du fichier de verrouillage d'un espace protégé fait </w:t>
      </w:r>
      <w:r>
        <w:rPr>
          <w:b/>
        </w:rPr>
        <w:t>échouer le traitement</w:t>
      </w:r>
      <w:r>
        <w:t xml:space="preserve"> (fail-closed) au lieu de continuer sans protection.</w:t>
      </w:r>
    </w:p>
    <w:p>
      <w:pPr>
        <w:pStyle w:val="Heading3"/>
      </w:pPr>
      <w:r>
        <w:t>Validation humaine des communications (HITL)</w:t>
      </w:r>
    </w:p>
    <w:p>
      <w:pPr>
        <w:pStyle w:val="ListBullet"/>
      </w:pPr>
      <w:r>
        <w:t xml:space="preserve">Aucun envoi vers un service externe (e-mail, messagerie, outils métier) n'est exécuté automatiquement : chaque envoi exige une </w:t>
      </w:r>
      <w:r>
        <w:rPr>
          <w:b/>
        </w:rPr>
        <w:t>validation humaine explicite</w:t>
      </w:r>
      <w:r>
        <w:t>, contenu intégral affiché, via le propre compte de l'utilisateur.</w:t>
      </w:r>
    </w:p>
    <w:p>
      <w:pPr>
        <w:pStyle w:val="ListBullet"/>
      </w:pPr>
      <w:r>
        <w:t>Un document NEUF produit par un traitement est d'abord déposé dans une zone de transit : il n'entre dans les dossiers du client qu'après validation de l'utilisateur.</w:t>
      </w:r>
    </w:p>
    <w:p>
      <w:pPr>
        <w:pStyle w:val="ListBullet"/>
      </w:pPr>
      <w:r>
        <w:t xml:space="preserve">La retouche, le renommage ou la suppression d'un document que l'utilisateur a lui-même désigné s'applique </w:t>
      </w:r>
      <w:r>
        <w:rPr>
          <w:b/>
        </w:rPr>
        <w:t>immédiatement</w:t>
      </w:r>
      <w:r>
        <w:t xml:space="preserve">. La garantie n'est alors pas l'attente mais la </w:t>
      </w:r>
      <w:r>
        <w:rPr>
          <w:b/>
        </w:rPr>
        <w:t>réversibilité</w:t>
      </w:r>
      <w:r>
        <w:t xml:space="preserve"> : l'original est recopié dans une corbeille locale et le geste inscrit dans un journal d'annulation AVANT toute écriture — un échec de sauvegarde refuse l'écriture. L'utilisateur peut défaire chaque geste, un par un.</w:t>
      </w:r>
    </w:p>
    <w:p>
      <w:pPr>
        <w:pStyle w:val="Heading3"/>
      </w:pPr>
      <w:r>
        <w:t>Journalisation et traçabilité</w:t>
      </w:r>
    </w:p>
    <w:p>
      <w:pPr>
        <w:pStyle w:val="ListBullet"/>
      </w:pPr>
      <w:r>
        <w:t xml:space="preserve">Chaque traitement produit un enregistrement de journalisation </w:t>
      </w:r>
      <w:r>
        <w:rPr>
          <w:b/>
        </w:rPr>
        <w:t>sans contenu</w:t>
      </w:r>
      <w:r>
        <w:t xml:space="preserve"> (métadonnées : finalité, sous-traitants, pays, compteurs de fichiers, date) — art. 4 OPDo. Conservation minimale : </w:t>
      </w:r>
      <w:r>
        <w:rPr>
          <w:b/>
        </w:rPr>
        <w:t>365 jours</w:t>
      </w:r>
      <w:r>
        <w:t>, indépendamment de la purge du contenu.</w:t>
      </w:r>
    </w:p>
    <w:p>
      <w:pPr>
        <w:pStyle w:val="ListBullet"/>
      </w:pPr>
      <w:r>
        <w:t xml:space="preserve">Les journaux d'exécution détaillés sont </w:t>
      </w:r>
      <w:r>
        <w:rPr>
          <w:b/>
        </w:rPr>
        <w:t>chiffrés au repos</w:t>
      </w:r>
      <w:r>
        <w:t xml:space="preserve"> (politique « chiffrer ou refuser » : pas d'écriture en clair).</w:t>
      </w:r>
    </w:p>
    <w:p>
      <w:pPr>
        <w:pStyle w:val="ListBullet"/>
      </w:pPr>
      <w:r>
        <w:t>Les exports et effacements de données déclenchés par l'utilisateur sont tracés dans une piste d'audit dédiée (portée et résultat, jamais le contenu).</w:t>
      </w:r>
    </w:p>
    <w:p>
      <w:pPr>
        <w:pStyle w:val="Heading3"/>
      </w:pPr>
      <w:r>
        <w:t>Limitation de la conservation</w:t>
      </w:r>
    </w:p>
    <w:p>
      <w:pPr>
        <w:pStyle w:val="ListBullet"/>
      </w:pPr>
      <w:r>
        <w:t>Contenu des traitements (runs, journaux) : 90 jours puis purge automatique.</w:t>
      </w:r>
    </w:p>
    <w:p>
      <w:pPr>
        <w:pStyle w:val="ListBullet"/>
      </w:pPr>
      <w:r>
        <w:t>Les passations intermédiaires (zone de transit) ont une durée de vie courte et sont purgées indépendamment de la rétention légale.</w:t>
      </w:r>
    </w:p>
    <w:p>
      <w:pPr>
        <w:pStyle w:val="ListBullet"/>
      </w:pPr>
      <w:r>
        <w:t xml:space="preserve">Les copies de sûreté qui rendent une retouche réversible (corbeille locale, dans le dossier du client) sont purgées automatiquement au bout de </w:t>
      </w:r>
      <w:r>
        <w:rPr>
          <w:b/>
        </w:rPr>
        <w:t>14 jours</w:t>
      </w:r>
      <w:r>
        <w:t>, et à tout moment sur demande de l'utilisateur.</w:t>
      </w:r>
    </w:p>
    <w:p>
      <w:pPr>
        <w:pStyle w:val="ListBullet"/>
      </w:pPr>
      <w:r>
        <w:t xml:space="preserve">Tout effacement peut être </w:t>
      </w:r>
      <w:r>
        <w:rPr>
          <w:b/>
        </w:rPr>
        <w:t>attesté</w:t>
      </w:r>
      <w:r>
        <w:t xml:space="preserve"> : une attestation datée de purge est produite sur demande (preuve de la limitation de conservation).</w:t>
      </w:r>
    </w:p>
    <w:p>
      <w:pPr>
        <w:pStyle w:val="Heading3"/>
      </w:pPr>
      <w:r>
        <w:t>Sécurité des secrets</w:t>
      </w:r>
    </w:p>
    <w:p>
      <w:pPr>
        <w:pStyle w:val="ListBullet"/>
      </w:pPr>
      <w:r>
        <w:t>Les clés d'accès aux services sont stockées chiffrées au repos, hors du périmètre lisible par les agents, et sont exclues des exports de données.</w:t>
      </w:r>
    </w:p>
    <w:p>
      <w:pPr>
        <w:pStyle w:val="Heading2"/>
      </w:pPr>
      <w:r>
        <w:t>Sous-traitants (art. 9 nLPD)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Sous-traitant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Rôle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Pays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Garanties</w:t>
            </w:r>
          </w:p>
        </w:tc>
      </w:tr>
      <w:tr>
        <w:tc>
          <w:tcPr>
            <w:tcW w:type="dxa" w:w="2160"/>
          </w:tcPr>
          <w:p>
            <w:r>
              <w:t>Infomaniak Network SA</w:t>
            </w:r>
          </w:p>
        </w:tc>
        <w:tc>
          <w:tcPr>
            <w:tcW w:type="dxa" w:w="2160"/>
          </w:tcPr>
          <w:p>
            <w:r>
              <w:t>Hébergement et inférence des modèles d'IA (Infomaniak AI Services)</w:t>
            </w:r>
          </w:p>
        </w:tc>
        <w:tc>
          <w:tcPr>
            <w:tcW w:type="dxa" w:w="2160"/>
          </w:tcPr>
          <w:p>
            <w:r>
              <w:t>Suisse</w:t>
            </w:r>
          </w:p>
        </w:tc>
        <w:tc>
          <w:tcPr>
            <w:tcW w:type="dxa" w:w="2160"/>
          </w:tcPr>
          <w:p>
            <w:r>
              <w:t>Contrat de sous-traitance (DPA) Infomaniak ; données traitées en Suisse, non conservées, non utilisées pour l'entraînement</w:t>
            </w:r>
          </w:p>
        </w:tc>
      </w:tr>
    </w:tbl>
    <w:p>
      <w:r>
        <w:t>Les envois effectués via des connecteurs externes (e-mail, outils métier) ne sont pas de la sous-traitance de LEMIA : ils sont validés et déclenchés par l'utilisateur, via son propre compte, sous sa responsabilité (chaque envoi figure dans la journalisation).</w:t>
      </w:r>
    </w:p>
    <w:p>
      <w:pPr>
        <w:pStyle w:val="Heading2"/>
      </w:pPr>
      <w:r>
        <w:t>Journalisation (art. 4 OPDo) — synthèse</w:t>
      </w:r>
    </w:p>
    <w:p>
      <w:pPr>
        <w:pStyle w:val="ListBullet"/>
      </w:pPr>
      <w:r>
        <w:rPr>
          <w:b/>
        </w:rPr>
        <w:t>Enregistrements</w:t>
      </w:r>
      <w:r>
        <w:t xml:space="preserve"> : 3 (dont 3 en traitement souverain)</w:t>
      </w:r>
    </w:p>
    <w:p>
      <w:pPr>
        <w:pStyle w:val="ListBullet"/>
      </w:pPr>
      <w:r>
        <w:rPr>
          <w:b/>
        </w:rPr>
        <w:t>Période couverte</w:t>
      </w:r>
      <w:r>
        <w:t xml:space="preserve"> : 24.08.2026 → 02.09.2026</w:t>
      </w:r>
    </w:p>
    <w:p>
      <w:pPr>
        <w:pStyle w:val="ListBullet"/>
      </w:pPr>
      <w:r>
        <w:rPr>
          <w:b/>
        </w:rPr>
        <w:t>Conservation</w:t>
      </w:r>
      <w:r>
        <w:t xml:space="preserve"> : au moins 365 jours (art. 4 al. 4 OPDo), indépendamment de la purge du contenu</w:t>
      </w:r>
    </w:p>
    <w:p>
      <w:pPr>
        <w:pStyle w:val="ListBullet"/>
      </w:pPr>
      <w:r>
        <w:t>Le détail complet (un enregistrement par traitement, sans contenu) est exportable au format CSV depuis l'espace Conformité de l'application.</w:t>
      </w:r>
    </w:p>
    <w:p>
      <w:pPr>
        <w:pStyle w:val="Heading2"/>
      </w:pPr>
      <w:r>
        <w:t>Violations de la sécurité des données (art. 24 nLPD)</w:t>
      </w:r>
    </w:p>
    <w:p>
      <w:r>
        <w:t>Aucune violation documentée à ce jour.</w:t>
      </w:r>
    </w:p>
    <w:p>
      <w:pPr>
        <w:pStyle w:val="Heading2"/>
      </w:pPr>
      <w:r>
        <w:t>Droits des personnes et limitation de la conservation</w:t>
      </w:r>
    </w:p>
    <w:p>
      <w:pPr>
        <w:pStyle w:val="ListBullet"/>
      </w:pPr>
      <w:r>
        <w:rPr>
          <w:b/>
        </w:rPr>
        <w:t>Exports de données (droit d'accès / portabilité)</w:t>
      </w:r>
      <w:r>
        <w:t xml:space="preserve"> : 0 opération(s)</w:t>
      </w:r>
    </w:p>
    <w:p>
      <w:pPr>
        <w:pStyle w:val="ListBullet"/>
      </w:pPr>
      <w:r>
        <w:rPr>
          <w:b/>
        </w:rPr>
        <w:t>Effacements (droit à l'effacement)</w:t>
      </w:r>
      <w:r>
        <w:t xml:space="preserve"> : 0 opération(s)</w:t>
      </w:r>
    </w:p>
    <w:p>
      <w:pPr>
        <w:pStyle w:val="ListBullet"/>
      </w:pPr>
      <w:r>
        <w:rPr>
          <w:b/>
        </w:rPr>
        <w:t>Purges automatiques de rétention</w:t>
      </w:r>
      <w:r>
        <w:t xml:space="preserve"> : 0 exécution(s) effective(s)</w:t>
      </w:r>
    </w:p>
    <w:p>
      <w:pPr>
        <w:pStyle w:val="ListBullet"/>
      </w:pPr>
      <w:r>
        <w:rPr>
          <w:b/>
        </w:rPr>
        <w:t>Attestations de purge produites</w:t>
      </w:r>
      <w:r>
        <w:t xml:space="preserve"> : 0</w:t>
      </w:r>
    </w:p>
    <w:p>
      <w:r>
        <w:t>Chacune de ces opérations est tracée dans la piste d'audit de l'application (portée et résultat, jamais le contenu).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